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660" w:lineRule="exact"/>
        <w:ind w:firstLine="880" w:firstLineChars="200"/>
        <w:jc w:val="center"/>
        <w:textAlignment w:val="auto"/>
        <w:rPr>
          <w:rFonts w:hint="eastAsia" w:ascii="方正小标宋简体" w:hAnsi="方正小标宋简体" w:eastAsia="方正小标宋简体" w:cs="方正小标宋简体"/>
          <w:b w:val="0"/>
          <w:bCs w:val="0"/>
          <w:sz w:val="44"/>
          <w:szCs w:val="44"/>
          <w:lang w:val="en-US" w:eastAsia="zh-CN"/>
        </w:rPr>
      </w:pPr>
      <w:r>
        <w:rPr>
          <w:rFonts w:hint="eastAsia" w:ascii="方正小标宋简体" w:hAnsi="方正小标宋简体" w:eastAsia="方正小标宋简体" w:cs="方正小标宋简体"/>
          <w:b w:val="0"/>
          <w:bCs w:val="0"/>
          <w:sz w:val="44"/>
          <w:szCs w:val="44"/>
          <w:lang w:eastAsia="zh-CN"/>
        </w:rPr>
        <w:t>骊城街道</w:t>
      </w:r>
      <w:r>
        <w:rPr>
          <w:rFonts w:hint="eastAsia" w:ascii="方正小标宋简体" w:hAnsi="方正小标宋简体" w:eastAsia="方正小标宋简体" w:cs="方正小标宋简体"/>
          <w:b w:val="0"/>
          <w:bCs w:val="0"/>
          <w:sz w:val="44"/>
          <w:szCs w:val="44"/>
          <w:lang w:val="en-US" w:eastAsia="zh-CN"/>
        </w:rPr>
        <w:t>办事处</w:t>
      </w:r>
    </w:p>
    <w:p>
      <w:pPr>
        <w:keepNext w:val="0"/>
        <w:keepLines w:val="0"/>
        <w:pageBreakBefore w:val="0"/>
        <w:widowControl w:val="0"/>
        <w:kinsoku/>
        <w:wordWrap/>
        <w:overflowPunct/>
        <w:topLinePunct w:val="0"/>
        <w:autoSpaceDE/>
        <w:autoSpaceDN/>
        <w:bidi w:val="0"/>
        <w:adjustRightInd/>
        <w:snapToGrid/>
        <w:spacing w:line="660" w:lineRule="exact"/>
        <w:ind w:firstLine="880" w:firstLineChars="200"/>
        <w:jc w:val="center"/>
        <w:textAlignment w:val="auto"/>
        <w:rPr>
          <w:rFonts w:hint="eastAsia" w:ascii="方正小标宋简体" w:hAnsi="方正小标宋简体" w:eastAsia="方正小标宋简体" w:cs="方正小标宋简体"/>
          <w:b w:val="0"/>
          <w:bCs w:val="0"/>
          <w:sz w:val="44"/>
          <w:szCs w:val="44"/>
          <w:lang w:val="en-US" w:eastAsia="zh-CN"/>
        </w:rPr>
      </w:pPr>
      <w:r>
        <w:rPr>
          <w:rFonts w:hint="eastAsia" w:ascii="方正小标宋简体" w:hAnsi="方正小标宋简体" w:eastAsia="方正小标宋简体" w:cs="方正小标宋简体"/>
          <w:b w:val="0"/>
          <w:bCs w:val="0"/>
          <w:sz w:val="44"/>
          <w:szCs w:val="44"/>
          <w:lang w:val="en-US" w:eastAsia="zh-CN"/>
        </w:rPr>
        <w:t>2021年工作谋划</w:t>
      </w:r>
    </w:p>
    <w:p>
      <w:pPr>
        <w:keepNext w:val="0"/>
        <w:keepLines w:val="0"/>
        <w:pageBreakBefore w:val="0"/>
        <w:widowControl w:val="0"/>
        <w:kinsoku/>
        <w:wordWrap/>
        <w:overflowPunct/>
        <w:topLinePunct w:val="0"/>
        <w:autoSpaceDE/>
        <w:autoSpaceDN/>
        <w:bidi w:val="0"/>
        <w:adjustRightInd/>
        <w:snapToGrid/>
        <w:spacing w:line="660" w:lineRule="exact"/>
        <w:ind w:firstLine="880" w:firstLineChars="200"/>
        <w:jc w:val="center"/>
        <w:textAlignment w:val="auto"/>
        <w:rPr>
          <w:rFonts w:hint="eastAsia" w:ascii="方正小标宋简体" w:hAnsi="方正小标宋简体" w:eastAsia="方正小标宋简体" w:cs="方正小标宋简体"/>
          <w:b w:val="0"/>
          <w:bCs w:val="0"/>
          <w:sz w:val="44"/>
          <w:szCs w:val="44"/>
          <w:lang w:val="en-US" w:eastAsia="zh-CN"/>
        </w:rPr>
      </w:pPr>
    </w:p>
    <w:p>
      <w:pPr>
        <w:keepNext w:val="0"/>
        <w:keepLines w:val="0"/>
        <w:pageBreakBefore w:val="0"/>
        <w:kinsoku/>
        <w:wordWrap/>
        <w:overflowPunct/>
        <w:topLinePunct w:val="0"/>
        <w:autoSpaceDE/>
        <w:autoSpaceDN/>
        <w:bidi w:val="0"/>
        <w:adjustRightInd/>
        <w:snapToGrid/>
        <w:spacing w:line="560" w:lineRule="exact"/>
        <w:ind w:firstLine="640" w:firstLineChars="200"/>
        <w:jc w:val="left"/>
        <w:textAlignment w:val="auto"/>
        <w:rPr>
          <w:rFonts w:hint="eastAsia" w:ascii="仿宋" w:hAnsi="仿宋" w:eastAsia="仿宋" w:cs="仿宋"/>
          <w:color w:val="000000"/>
          <w:sz w:val="32"/>
          <w:szCs w:val="32"/>
          <w:lang w:val="en-US" w:eastAsia="zh-CN"/>
        </w:rPr>
      </w:pPr>
      <w:r>
        <w:rPr>
          <w:rFonts w:hint="eastAsia" w:ascii="仿宋" w:hAnsi="仿宋" w:eastAsia="仿宋" w:cs="仿宋"/>
          <w:b w:val="0"/>
          <w:bCs w:val="0"/>
          <w:sz w:val="32"/>
          <w:szCs w:val="32"/>
          <w:lang w:val="en-US" w:eastAsia="zh-CN"/>
        </w:rPr>
        <w:t>2021年是十四五的开局之年，骊城街道办事处将以此为契机，认真贯彻和落实十九届五中全会关于</w:t>
      </w:r>
      <w:r>
        <w:rPr>
          <w:rFonts w:hint="eastAsia" w:ascii="仿宋" w:hAnsi="仿宋" w:eastAsia="仿宋" w:cs="仿宋"/>
          <w:i w:val="0"/>
          <w:caps w:val="0"/>
          <w:color w:val="000000"/>
          <w:spacing w:val="0"/>
          <w:sz w:val="32"/>
          <w:szCs w:val="32"/>
          <w:shd w:val="clear" w:fill="FFFFFF"/>
        </w:rPr>
        <w:t>“十四五”时期经济社会发展的基本思路、主要目标以及2035年远景目标，突出新发展理念的引领作用，</w:t>
      </w:r>
      <w:r>
        <w:rPr>
          <w:rFonts w:hint="eastAsia" w:ascii="仿宋" w:hAnsi="仿宋" w:eastAsia="仿宋" w:cs="仿宋"/>
          <w:i w:val="0"/>
          <w:caps w:val="0"/>
          <w:color w:val="000000"/>
          <w:spacing w:val="0"/>
          <w:sz w:val="32"/>
          <w:szCs w:val="32"/>
          <w:shd w:val="clear" w:fill="FFFFFF"/>
          <w:lang w:val="en-US" w:eastAsia="zh-CN"/>
        </w:rPr>
        <w:t>围绕区委、区政府</w:t>
      </w:r>
      <w:r>
        <w:rPr>
          <w:rFonts w:hint="eastAsia" w:ascii="仿宋" w:hAnsi="仿宋" w:eastAsia="仿宋" w:cs="仿宋"/>
          <w:color w:val="000000"/>
          <w:sz w:val="32"/>
          <w:szCs w:val="32"/>
          <w:lang w:val="en-US"/>
        </w:rPr>
        <w:t>“</w:t>
      </w:r>
      <w:r>
        <w:rPr>
          <w:rFonts w:hint="eastAsia" w:ascii="仿宋" w:hAnsi="仿宋" w:eastAsia="仿宋" w:cs="仿宋"/>
          <w:color w:val="000000"/>
          <w:sz w:val="32"/>
          <w:szCs w:val="32"/>
        </w:rPr>
        <w:t>优服务、提效率、抓落实</w:t>
      </w:r>
      <w:r>
        <w:rPr>
          <w:rFonts w:hint="eastAsia" w:ascii="仿宋" w:hAnsi="仿宋" w:eastAsia="仿宋" w:cs="仿宋"/>
          <w:color w:val="000000"/>
          <w:sz w:val="32"/>
          <w:szCs w:val="32"/>
          <w:lang w:val="en-US"/>
        </w:rPr>
        <w:t>”</w:t>
      </w:r>
      <w:r>
        <w:rPr>
          <w:rFonts w:hint="eastAsia" w:ascii="仿宋" w:hAnsi="仿宋" w:eastAsia="仿宋" w:cs="仿宋"/>
          <w:color w:val="000000"/>
          <w:sz w:val="32"/>
          <w:szCs w:val="32"/>
          <w:lang w:val="en-US" w:eastAsia="zh-CN"/>
        </w:rPr>
        <w:t>的</w:t>
      </w:r>
      <w:r>
        <w:rPr>
          <w:rFonts w:hint="eastAsia" w:ascii="仿宋" w:hAnsi="仿宋" w:eastAsia="仿宋" w:cs="仿宋"/>
          <w:color w:val="000000"/>
          <w:sz w:val="32"/>
          <w:szCs w:val="32"/>
        </w:rPr>
        <w:t>工作总要求，着力推进</w:t>
      </w:r>
      <w:r>
        <w:rPr>
          <w:rFonts w:hint="eastAsia" w:ascii="仿宋" w:hAnsi="仿宋" w:eastAsia="仿宋" w:cs="仿宋"/>
          <w:color w:val="000000"/>
          <w:sz w:val="32"/>
          <w:szCs w:val="32"/>
          <w:lang w:val="en-US"/>
        </w:rPr>
        <w:t>“</w:t>
      </w:r>
      <w:r>
        <w:rPr>
          <w:rFonts w:hint="eastAsia" w:ascii="仿宋" w:hAnsi="仿宋" w:eastAsia="仿宋" w:cs="仿宋"/>
          <w:color w:val="000000"/>
          <w:sz w:val="32"/>
          <w:szCs w:val="32"/>
        </w:rPr>
        <w:t>六大行动</w:t>
      </w:r>
      <w:r>
        <w:rPr>
          <w:rFonts w:hint="eastAsia" w:ascii="仿宋" w:hAnsi="仿宋" w:eastAsia="仿宋" w:cs="仿宋"/>
          <w:color w:val="000000"/>
          <w:sz w:val="32"/>
          <w:szCs w:val="32"/>
          <w:lang w:val="en-US"/>
        </w:rPr>
        <w:t>”</w:t>
      </w:r>
      <w:r>
        <w:rPr>
          <w:rFonts w:hint="eastAsia" w:ascii="仿宋" w:hAnsi="仿宋" w:eastAsia="仿宋" w:cs="仿宋"/>
          <w:color w:val="000000"/>
          <w:sz w:val="32"/>
          <w:szCs w:val="32"/>
        </w:rPr>
        <w:t>，倾力实施</w:t>
      </w:r>
      <w:r>
        <w:rPr>
          <w:rFonts w:hint="eastAsia" w:ascii="仿宋" w:hAnsi="仿宋" w:eastAsia="仿宋" w:cs="仿宋"/>
          <w:color w:val="000000"/>
          <w:sz w:val="32"/>
          <w:szCs w:val="32"/>
          <w:lang w:val="en-US" w:eastAsia="zh-CN"/>
        </w:rPr>
        <w:t>民生</w:t>
      </w:r>
      <w:r>
        <w:rPr>
          <w:rFonts w:hint="eastAsia" w:ascii="仿宋" w:hAnsi="仿宋" w:eastAsia="仿宋" w:cs="仿宋"/>
          <w:color w:val="000000"/>
          <w:sz w:val="32"/>
          <w:szCs w:val="32"/>
        </w:rPr>
        <w:t>实事，</w:t>
      </w:r>
      <w:r>
        <w:rPr>
          <w:rFonts w:hint="eastAsia" w:ascii="仿宋" w:hAnsi="仿宋" w:eastAsia="仿宋" w:cs="仿宋"/>
          <w:color w:val="000000"/>
          <w:sz w:val="32"/>
          <w:szCs w:val="32"/>
          <w:lang w:val="en-US" w:eastAsia="zh-CN"/>
        </w:rPr>
        <w:t>力求为抚宁二次创业保驾护航，具体规划如下：</w:t>
      </w:r>
    </w:p>
    <w:p>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firstLine="640" w:firstLineChars="200"/>
        <w:jc w:val="left"/>
        <w:textAlignment w:val="auto"/>
        <w:rPr>
          <w:rFonts w:hint="eastAsia" w:ascii="黑体" w:hAnsi="黑体" w:eastAsia="黑体" w:cs="黑体"/>
          <w:color w:val="000000"/>
          <w:sz w:val="32"/>
          <w:szCs w:val="32"/>
          <w:lang w:val="en-US" w:eastAsia="zh-CN"/>
        </w:rPr>
      </w:pPr>
      <w:r>
        <w:rPr>
          <w:rFonts w:hint="eastAsia" w:ascii="黑体" w:hAnsi="黑体" w:eastAsia="黑体" w:cs="黑体"/>
          <w:color w:val="000000"/>
          <w:sz w:val="32"/>
          <w:szCs w:val="32"/>
          <w:lang w:val="en-US" w:eastAsia="zh-CN"/>
        </w:rPr>
        <w:t>树立“标杆意识”，完善行政审批新流程</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eastAsia="zh-CN"/>
        </w:rPr>
      </w:pPr>
      <w:r>
        <w:rPr>
          <w:rFonts w:hint="eastAsia" w:ascii="楷体" w:hAnsi="楷体" w:eastAsia="楷体" w:cs="楷体"/>
          <w:sz w:val="32"/>
          <w:szCs w:val="32"/>
          <w:lang w:eastAsia="zh-CN"/>
        </w:rPr>
        <w:t>（</w:t>
      </w:r>
      <w:r>
        <w:rPr>
          <w:rFonts w:hint="eastAsia" w:ascii="楷体" w:hAnsi="楷体" w:eastAsia="楷体" w:cs="楷体"/>
          <w:sz w:val="32"/>
          <w:szCs w:val="32"/>
          <w:lang w:val="en-US" w:eastAsia="zh-CN"/>
        </w:rPr>
        <w:t>一</w:t>
      </w:r>
      <w:r>
        <w:rPr>
          <w:rFonts w:hint="eastAsia" w:ascii="楷体" w:hAnsi="楷体" w:eastAsia="楷体" w:cs="楷体"/>
          <w:sz w:val="32"/>
          <w:szCs w:val="32"/>
          <w:lang w:eastAsia="zh-CN"/>
        </w:rPr>
        <w:t>）规范工作管理，提高服务水平。</w:t>
      </w:r>
      <w:r>
        <w:rPr>
          <w:rFonts w:hint="eastAsia" w:ascii="仿宋" w:hAnsi="仿宋" w:eastAsia="仿宋" w:cs="仿宋"/>
          <w:sz w:val="32"/>
          <w:szCs w:val="32"/>
          <w:lang w:eastAsia="zh-CN"/>
        </w:rPr>
        <w:t>街道办事处、相关部门应密切配合，加强对各部门的协调、监督、完善一窗式受理、一站式审批，一条龙服务；进一步完善各项规章制度、管理办法并狠抓制度落实，及时发现和整改制度执行中存在的问题，使管理更加规范和科学；进一步规范窗口人员</w:t>
      </w:r>
      <w:r>
        <w:rPr>
          <w:rFonts w:hint="eastAsia" w:ascii="仿宋" w:hAnsi="仿宋" w:eastAsia="仿宋" w:cs="仿宋"/>
          <w:sz w:val="32"/>
          <w:szCs w:val="32"/>
          <w:lang w:val="en-US" w:eastAsia="zh-CN"/>
        </w:rPr>
        <w:t>AB岗</w:t>
      </w:r>
      <w:r>
        <w:rPr>
          <w:rFonts w:hint="eastAsia" w:ascii="仿宋" w:hAnsi="仿宋" w:eastAsia="仿宋" w:cs="仿宋"/>
          <w:sz w:val="32"/>
          <w:szCs w:val="32"/>
          <w:lang w:eastAsia="zh-CN"/>
        </w:rPr>
        <w:t>管理，严格坐班制度及去向公式制度，确保中心各项服务不缺位、不脱节、不拖延，把为服务对象提高办事效率，降低办事成本真正落到实处。</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仿宋" w:hAnsi="仿宋" w:eastAsia="仿宋" w:cs="仿宋"/>
          <w:sz w:val="32"/>
          <w:szCs w:val="32"/>
          <w:lang w:val="en-US" w:eastAsia="zh-CN"/>
        </w:rPr>
      </w:pPr>
      <w:r>
        <w:rPr>
          <w:rFonts w:hint="eastAsia" w:ascii="楷体" w:hAnsi="楷体" w:eastAsia="楷体" w:cs="楷体"/>
          <w:sz w:val="32"/>
          <w:szCs w:val="32"/>
          <w:lang w:val="en-US" w:eastAsia="zh-CN"/>
        </w:rPr>
        <w:t>（二）改进工作态度，提高服务品位。</w:t>
      </w:r>
      <w:r>
        <w:rPr>
          <w:rFonts w:hint="eastAsia" w:ascii="仿宋" w:hAnsi="仿宋" w:eastAsia="仿宋" w:cs="仿宋"/>
          <w:sz w:val="32"/>
          <w:szCs w:val="32"/>
          <w:lang w:val="en-US" w:eastAsia="zh-CN"/>
        </w:rPr>
        <w:t>接待服务对象、办理有关审批手续、证照时，要主动热情，用文明用语，禁止使用伤害感情、激化矛盾、损害形象的语言。工作时必须穿戴整齐等。严格要求各窗口工作人员实行一次告知服务对象其申办事项所需要的全部资料，尽可能做到早办、快办、方便群众。</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color w:val="000000"/>
          <w:sz w:val="32"/>
          <w:szCs w:val="32"/>
          <w:lang w:val="en-US" w:eastAsia="zh-CN"/>
        </w:rPr>
      </w:pPr>
      <w:r>
        <w:rPr>
          <w:rFonts w:hint="eastAsia" w:ascii="楷体" w:hAnsi="楷体" w:eastAsia="楷体" w:cs="楷体"/>
          <w:sz w:val="32"/>
          <w:szCs w:val="32"/>
          <w:lang w:eastAsia="zh-CN"/>
        </w:rPr>
        <w:t>（</w:t>
      </w:r>
      <w:r>
        <w:rPr>
          <w:rFonts w:hint="eastAsia" w:ascii="楷体" w:hAnsi="楷体" w:eastAsia="楷体" w:cs="楷体"/>
          <w:sz w:val="32"/>
          <w:szCs w:val="32"/>
          <w:lang w:val="en-US" w:eastAsia="zh-CN"/>
        </w:rPr>
        <w:t>三</w:t>
      </w:r>
      <w:r>
        <w:rPr>
          <w:rFonts w:hint="eastAsia" w:ascii="楷体" w:hAnsi="楷体" w:eastAsia="楷体" w:cs="楷体"/>
          <w:sz w:val="32"/>
          <w:szCs w:val="32"/>
          <w:lang w:eastAsia="zh-CN"/>
        </w:rPr>
        <w:t>）加强监督管理，提高服务品质。</w:t>
      </w:r>
      <w:r>
        <w:rPr>
          <w:rFonts w:hint="eastAsia" w:ascii="仿宋" w:hAnsi="仿宋" w:eastAsia="仿宋" w:cs="仿宋"/>
          <w:sz w:val="32"/>
          <w:szCs w:val="32"/>
          <w:lang w:eastAsia="zh-CN"/>
        </w:rPr>
        <w:t>继续加大制度建设和规范化建设力度，认真总结工作经验，不断完善监督体系，加强自我监督和社会监督，提高依法行政水平。</w:t>
      </w:r>
    </w:p>
    <w:p>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firstLine="640" w:firstLineChars="200"/>
        <w:jc w:val="left"/>
        <w:textAlignment w:val="auto"/>
        <w:rPr>
          <w:rFonts w:hint="eastAsia" w:ascii="黑体" w:hAnsi="黑体" w:eastAsia="黑体" w:cs="黑体"/>
          <w:color w:val="000000"/>
          <w:sz w:val="32"/>
          <w:szCs w:val="32"/>
          <w:lang w:val="en-US" w:eastAsia="zh-CN"/>
        </w:rPr>
      </w:pPr>
      <w:r>
        <w:rPr>
          <w:rFonts w:hint="eastAsia" w:ascii="黑体" w:hAnsi="黑体" w:eastAsia="黑体" w:cs="黑体"/>
          <w:color w:val="000000"/>
          <w:sz w:val="32"/>
          <w:szCs w:val="32"/>
          <w:lang w:val="en-US" w:eastAsia="zh-CN"/>
        </w:rPr>
        <w:t>善用“法治思维”，促使综合执法新形态</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color w:val="000000"/>
          <w:sz w:val="32"/>
          <w:szCs w:val="32"/>
          <w:lang w:val="en-US" w:eastAsia="zh-CN"/>
        </w:rPr>
      </w:pPr>
      <w:r>
        <w:rPr>
          <w:rFonts w:hint="eastAsia" w:ascii="仿宋" w:hAnsi="仿宋" w:eastAsia="仿宋" w:cs="仿宋"/>
          <w:color w:val="111111"/>
          <w:sz w:val="32"/>
          <w:szCs w:val="32"/>
          <w:lang w:val="en-US" w:eastAsia="zh-CN"/>
        </w:rPr>
        <w:t>一是</w:t>
      </w:r>
      <w:r>
        <w:rPr>
          <w:rFonts w:hint="eastAsia" w:ascii="仿宋" w:hAnsi="仿宋" w:eastAsia="仿宋" w:cs="仿宋"/>
          <w:color w:val="111111"/>
          <w:sz w:val="32"/>
          <w:szCs w:val="32"/>
        </w:rPr>
        <w:t>积极构建“联系无缝隙、管理无盲点、服务无遗漏”的工作新机制，着力构建“上下联动、齐抓共管、全面覆盖”的执法工作体系，有效推动了基层治理能力和治理水平的整体提升。</w:t>
      </w:r>
      <w:r>
        <w:rPr>
          <w:rFonts w:hint="eastAsia" w:ascii="仿宋" w:hAnsi="仿宋" w:eastAsia="仿宋" w:cs="仿宋"/>
          <w:color w:val="111111"/>
          <w:sz w:val="32"/>
          <w:szCs w:val="32"/>
          <w:lang w:val="en-US" w:eastAsia="zh-CN"/>
        </w:rPr>
        <w:t>二是</w:t>
      </w:r>
      <w:r>
        <w:rPr>
          <w:rFonts w:hint="eastAsia" w:ascii="仿宋" w:hAnsi="仿宋" w:eastAsia="仿宋"/>
          <w:sz w:val="32"/>
          <w:szCs w:val="32"/>
          <w:lang w:val="en-US" w:eastAsia="zh-CN"/>
        </w:rPr>
        <w:t>认真梳理行政处罚事项清单，严格照清单依法依规做好执法工作，根据处罚事项清单安排专项检查，继续做好散煤巡查收缴，完成街道及区直部门交办的其他工作。三是</w:t>
      </w:r>
      <w:r>
        <w:rPr>
          <w:rFonts w:hint="eastAsia" w:ascii="仿宋" w:hAnsi="仿宋" w:eastAsia="仿宋" w:cs="仿宋"/>
          <w:color w:val="111111"/>
          <w:sz w:val="32"/>
          <w:szCs w:val="32"/>
        </w:rPr>
        <w:t>积极探索具有骊城街道特色的</w:t>
      </w:r>
      <w:r>
        <w:rPr>
          <w:rFonts w:hint="eastAsia" w:ascii="仿宋" w:hAnsi="仿宋" w:eastAsia="仿宋" w:cs="仿宋"/>
          <w:sz w:val="32"/>
          <w:szCs w:val="32"/>
        </w:rPr>
        <w:t>“综合行政执法六步工作法”（</w:t>
      </w:r>
      <w:r>
        <w:rPr>
          <w:rFonts w:hint="eastAsia" w:ascii="仿宋" w:hAnsi="仿宋" w:eastAsia="仿宋" w:cs="仿宋"/>
          <w:color w:val="111111"/>
          <w:sz w:val="32"/>
          <w:szCs w:val="32"/>
        </w:rPr>
        <w:t>第一步确定是否管辖；第二步确定是否立案；第三步确定是否处罚；第四步送达和执行；第五步归档和公</w:t>
      </w:r>
      <w:r>
        <w:rPr>
          <w:rFonts w:hint="eastAsia" w:ascii="仿宋" w:hAnsi="仿宋" w:eastAsia="仿宋" w:cs="仿宋"/>
          <w:color w:val="111111"/>
          <w:sz w:val="32"/>
          <w:szCs w:val="32"/>
          <w:lang w:eastAsia="zh-CN"/>
        </w:rPr>
        <w:t>示</w:t>
      </w:r>
      <w:r>
        <w:rPr>
          <w:rFonts w:hint="eastAsia" w:ascii="仿宋" w:hAnsi="仿宋" w:eastAsia="仿宋" w:cs="仿宋"/>
          <w:color w:val="111111"/>
          <w:sz w:val="32"/>
          <w:szCs w:val="32"/>
        </w:rPr>
        <w:t>；第六步信息反馈</w:t>
      </w:r>
      <w:r>
        <w:rPr>
          <w:rFonts w:hint="eastAsia" w:ascii="仿宋" w:hAnsi="仿宋" w:eastAsia="仿宋" w:cs="仿宋"/>
          <w:sz w:val="32"/>
          <w:szCs w:val="32"/>
        </w:rPr>
        <w:t>。）和“一般行政处罚流程图”。将执法流程分解细化成六步并配以直观易懂的流程图，使每位执法人员都能快速掌握执法流程，为开展各项执法工作打下坚实基础。</w:t>
      </w:r>
    </w:p>
    <w:p>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firstLine="640" w:firstLineChars="200"/>
        <w:jc w:val="left"/>
        <w:textAlignment w:val="auto"/>
        <w:rPr>
          <w:rFonts w:hint="eastAsia" w:ascii="黑体" w:hAnsi="黑体" w:eastAsia="黑体" w:cs="黑体"/>
          <w:color w:val="000000"/>
          <w:sz w:val="32"/>
          <w:szCs w:val="32"/>
          <w:lang w:val="en-US" w:eastAsia="zh-CN"/>
        </w:rPr>
      </w:pPr>
      <w:r>
        <w:rPr>
          <w:rFonts w:hint="eastAsia" w:ascii="黑体" w:hAnsi="黑体" w:eastAsia="黑体" w:cs="黑体"/>
          <w:color w:val="000000"/>
          <w:sz w:val="32"/>
          <w:szCs w:val="32"/>
          <w:lang w:val="en-US" w:eastAsia="zh-CN"/>
        </w:rPr>
        <w:t>践行“初心使命”，解决民生实事新问题</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_GB2312"/>
          <w:sz w:val="32"/>
          <w:szCs w:val="32"/>
          <w:lang w:val="en-US" w:eastAsia="zh-CN"/>
        </w:rPr>
      </w:pPr>
      <w:r>
        <w:rPr>
          <w:rFonts w:hint="eastAsia" w:ascii="仿宋" w:hAnsi="仿宋" w:eastAsia="仿宋" w:cs="仿宋"/>
          <w:b w:val="0"/>
          <w:bCs/>
          <w:sz w:val="32"/>
          <w:szCs w:val="32"/>
          <w:lang w:val="en-US" w:eastAsia="zh-CN"/>
        </w:rPr>
        <w:t>一是以人居环境整治为契机，加大社区“脏乱差”整治力度；深化老旧院落综合整治，分期分批完善院落安防、绿化、照明等公共设施，不断优化宜居环境；以开展 “除陋习、树新风”等活动为载体，加大环境卫生宣传力度，增强居民爱护环境卫生意识，提高爱护环境卫生的自觉性。二是多措并举，及时解决供暖问题。2021年骊城街道办事处将</w:t>
      </w:r>
      <w:r>
        <w:rPr>
          <w:rFonts w:hint="eastAsia" w:ascii="仿宋" w:hAnsi="仿宋" w:eastAsia="仿宋" w:cs="仿宋_GB2312"/>
          <w:sz w:val="32"/>
          <w:szCs w:val="32"/>
        </w:rPr>
        <w:t>综合地理位置、现有条件、居民意愿、热源等因素，尽量扩大集中供暖改造区域，满足更多居民需求，提高城区集中供暖覆盖率。尽快确定</w:t>
      </w:r>
      <w:r>
        <w:rPr>
          <w:rFonts w:hint="eastAsia" w:ascii="仿宋" w:hAnsi="仿宋" w:eastAsia="仿宋" w:cs="仿宋_GB2312"/>
          <w:b w:val="0"/>
          <w:bCs w:val="0"/>
          <w:sz w:val="32"/>
          <w:szCs w:val="32"/>
          <w:lang w:val="en-US" w:eastAsia="zh-CN"/>
        </w:rPr>
        <w:t>集中供暖和光热加生物质改造均不能覆盖区域房屋的清洁取暖方式</w:t>
      </w:r>
      <w:r>
        <w:rPr>
          <w:rFonts w:hint="eastAsia" w:ascii="仿宋" w:hAnsi="仿宋" w:eastAsia="仿宋" w:cs="仿宋_GB2312"/>
          <w:sz w:val="32"/>
          <w:szCs w:val="32"/>
        </w:rPr>
        <w:t>，</w:t>
      </w:r>
      <w:r>
        <w:rPr>
          <w:rFonts w:hint="eastAsia" w:ascii="仿宋" w:hAnsi="仿宋" w:eastAsia="仿宋" w:cs="仿宋_GB2312"/>
          <w:sz w:val="32"/>
          <w:szCs w:val="32"/>
          <w:lang w:val="en-US" w:eastAsia="zh-CN"/>
        </w:rPr>
        <w:t>研究城区洁净煤保供工作，并争取给予补贴。尽快实施邱营片区拆改工作，缩短过渡期，从根本上解决改造区内居民清洁取暖问题。</w:t>
      </w:r>
    </w:p>
    <w:p>
      <w:pPr>
        <w:widowControl/>
        <w:numPr>
          <w:ilvl w:val="0"/>
          <w:numId w:val="0"/>
        </w:numPr>
        <w:adjustRightInd w:val="0"/>
        <w:snapToGrid w:val="0"/>
        <w:spacing w:line="540" w:lineRule="exact"/>
        <w:ind w:firstLine="640" w:firstLineChars="200"/>
        <w:jc w:val="left"/>
        <w:rPr>
          <w:rFonts w:hint="eastAsia" w:ascii="仿宋" w:hAnsi="仿宋" w:eastAsia="仿宋" w:cs="仿宋_GB2312"/>
          <w:b/>
          <w:bCs/>
          <w:sz w:val="32"/>
          <w:szCs w:val="32"/>
          <w:lang w:val="en-US" w:eastAsia="zh-CN"/>
        </w:rPr>
      </w:pPr>
      <w:r>
        <w:rPr>
          <w:rFonts w:hint="eastAsia" w:ascii="仿宋" w:hAnsi="仿宋" w:eastAsia="仿宋" w:cs="仿宋"/>
          <w:bCs/>
          <w:color w:val="000000"/>
          <w:kern w:val="0"/>
          <w:sz w:val="32"/>
          <w:szCs w:val="32"/>
          <w:lang w:val="en-US" w:eastAsia="zh-CN"/>
        </w:rPr>
        <w:t>三是强化小区物业管理，协助区住建局物业办，对小区物业管理进行监督管理，调解物业管理纠纷。配合区民政局基层政权股，指导居委会的换届选举工作。</w:t>
      </w:r>
    </w:p>
    <w:p>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firstLine="640" w:firstLineChars="200"/>
        <w:jc w:val="left"/>
        <w:textAlignment w:val="auto"/>
        <w:rPr>
          <w:rFonts w:hint="eastAsia" w:ascii="黑体" w:hAnsi="黑体" w:eastAsia="黑体" w:cs="黑体"/>
          <w:color w:val="000000"/>
          <w:sz w:val="32"/>
          <w:szCs w:val="32"/>
          <w:lang w:val="en-US" w:eastAsia="zh-CN"/>
        </w:rPr>
      </w:pPr>
      <w:r>
        <w:rPr>
          <w:rFonts w:hint="eastAsia" w:ascii="黑体" w:hAnsi="黑体" w:eastAsia="黑体" w:cs="黑体"/>
          <w:color w:val="000000"/>
          <w:sz w:val="32"/>
          <w:szCs w:val="32"/>
          <w:lang w:val="en-US" w:eastAsia="zh-CN"/>
        </w:rPr>
        <w:t>开展“三创四建”，探索社区建设新目标</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pPr>
      <w:r>
        <w:rPr>
          <w:rFonts w:hint="eastAsia" w:ascii="仿宋" w:hAnsi="仿宋" w:eastAsia="仿宋" w:cs="仿宋"/>
          <w:sz w:val="32"/>
          <w:szCs w:val="32"/>
          <w:lang w:val="en-US" w:eastAsia="zh-CN"/>
        </w:rPr>
        <w:t>一是</w:t>
      </w:r>
      <w:r>
        <w:rPr>
          <w:rFonts w:hint="default" w:ascii="仿宋" w:hAnsi="仿宋" w:eastAsia="仿宋" w:cs="仿宋"/>
          <w:sz w:val="32"/>
          <w:szCs w:val="32"/>
          <w:lang w:val="en-US" w:eastAsia="zh-CN"/>
        </w:rPr>
        <w:t>强化创建氛围营造。更新完善街道、社区、小区等场所的公益广告，做到抬眼可见、举足即观。开展“走千家、访万户”活动宣传</w:t>
      </w:r>
      <w:r>
        <w:rPr>
          <w:rFonts w:hint="eastAsia" w:ascii="仿宋" w:hAnsi="仿宋" w:eastAsia="仿宋" w:cs="仿宋"/>
          <w:sz w:val="32"/>
          <w:szCs w:val="32"/>
          <w:lang w:val="en-US" w:eastAsia="zh-CN"/>
        </w:rPr>
        <w:t>三创四建</w:t>
      </w:r>
      <w:r>
        <w:rPr>
          <w:rFonts w:hint="default" w:ascii="仿宋" w:hAnsi="仿宋" w:eastAsia="仿宋" w:cs="仿宋"/>
          <w:sz w:val="32"/>
          <w:szCs w:val="32"/>
          <w:lang w:val="en-US" w:eastAsia="zh-CN"/>
        </w:rPr>
        <w:t>的目的意义，营造全社会广泛关注、全民参与的浓厚氛围。</w:t>
      </w:r>
      <w:r>
        <w:rPr>
          <w:rFonts w:hint="eastAsia" w:ascii="仿宋" w:hAnsi="仿宋" w:eastAsia="仿宋" w:cs="仿宋"/>
          <w:sz w:val="32"/>
          <w:szCs w:val="32"/>
          <w:lang w:val="en-US" w:eastAsia="zh-CN"/>
        </w:rPr>
        <w:t>二是</w:t>
      </w:r>
      <w:r>
        <w:rPr>
          <w:rFonts w:hint="default" w:ascii="仿宋" w:hAnsi="仿宋" w:eastAsia="仿宋" w:cs="仿宋"/>
          <w:sz w:val="32"/>
          <w:szCs w:val="32"/>
          <w:lang w:val="en-US" w:eastAsia="zh-CN"/>
        </w:rPr>
        <w:t>强化文化阵地建设。坚持创建为民，努力提升群众的获得感、幸福感。推进街道、社区公共文化服务软硬件建设，开展适宜的活动，丰富居民业余文化生活，拓展未成年人文化活动阵地。</w:t>
      </w:r>
      <w:r>
        <w:rPr>
          <w:rFonts w:hint="eastAsia" w:ascii="仿宋" w:hAnsi="仿宋" w:eastAsia="仿宋" w:cs="仿宋"/>
          <w:sz w:val="32"/>
          <w:szCs w:val="32"/>
          <w:lang w:val="en-US" w:eastAsia="zh-CN"/>
        </w:rPr>
        <w:t>三是</w:t>
      </w:r>
      <w:r>
        <w:rPr>
          <w:rFonts w:hint="default" w:ascii="仿宋" w:hAnsi="仿宋" w:eastAsia="仿宋" w:cs="仿宋"/>
          <w:sz w:val="32"/>
          <w:szCs w:val="32"/>
          <w:lang w:val="en-US" w:eastAsia="zh-CN"/>
        </w:rPr>
        <w:t>强化文明素养提升。通过重点带动、舆论引导、典型培树、反面曝光等形式开展持久深入、生动活泼的教育引导，培育弘扬社会主义核心价值观，进一步提升市民文明素养、提高城市文明水平，让群众成为创建的主力军。</w:t>
      </w:r>
      <w:r>
        <w:rPr>
          <w:rFonts w:hint="eastAsia" w:ascii="仿宋" w:hAnsi="仿宋" w:eastAsia="仿宋" w:cs="仿宋"/>
          <w:sz w:val="32"/>
          <w:szCs w:val="32"/>
          <w:lang w:val="en-US" w:eastAsia="zh-CN"/>
        </w:rPr>
        <w:t>四是</w:t>
      </w:r>
      <w:r>
        <w:rPr>
          <w:rFonts w:hint="default" w:ascii="仿宋" w:hAnsi="仿宋" w:eastAsia="仿宋" w:cs="仿宋"/>
          <w:sz w:val="32"/>
          <w:szCs w:val="32"/>
          <w:lang w:val="en-US" w:eastAsia="zh-CN"/>
        </w:rPr>
        <w:t>强化小区环境整治。充分发挥网格长作用，利用区直单位包小区的机制，努力解决小区治理中的重点、难点问题，持续完善小区环境整治。</w:t>
      </w:r>
      <w:bookmarkStart w:id="0" w:name="_GoBack"/>
      <w:bookmarkEnd w:id="0"/>
    </w:p>
    <w:sectPr>
      <w:footerReference r:id="rId3" w:type="default"/>
      <w:pgSz w:w="11906" w:h="16838"/>
      <w:pgMar w:top="2154" w:right="1417" w:bottom="2041" w:left="1531"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
    <w:panose1 w:val="02010609060101010101"/>
    <w:charset w:val="86"/>
    <w:family w:val="roman"/>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asciiTheme="minorEastAsia" w:hAnsiTheme="minorEastAsia" w:eastAsiaTheme="minorEastAsia" w:cstheme="minorEastAsia"/>
                              <w:sz w:val="28"/>
                              <w:szCs w:val="28"/>
                              <w:lang w:eastAsia="zh-CN"/>
                            </w:rPr>
                          </w:pPr>
                          <w:r>
                            <w:rPr>
                              <w:rFonts w:hint="eastAsia" w:asciiTheme="minorEastAsia" w:hAnsiTheme="minorEastAsia" w:eastAsiaTheme="minorEastAsia" w:cstheme="minorEastAsia"/>
                              <w:sz w:val="28"/>
                              <w:szCs w:val="28"/>
                              <w:lang w:eastAsia="zh-CN"/>
                            </w:rPr>
                            <w:t xml:space="preserve">— </w:t>
                          </w: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1</w:t>
                          </w:r>
                          <w:r>
                            <w:rPr>
                              <w:rFonts w:hint="eastAsia" w:asciiTheme="minorEastAsia" w:hAnsiTheme="minorEastAsia" w:eastAsiaTheme="minorEastAsia" w:cstheme="minorEastAsia"/>
                              <w:sz w:val="28"/>
                              <w:szCs w:val="28"/>
                              <w:lang w:eastAsia="zh-CN"/>
                            </w:rPr>
                            <w:fldChar w:fldCharType="end"/>
                          </w:r>
                          <w:r>
                            <w:rPr>
                              <w:rFonts w:hint="eastAsia" w:asciiTheme="minorEastAsia" w:hAnsiTheme="minorEastAsia" w:eastAsiaTheme="minorEastAsia" w:cstheme="minorEastAsia"/>
                              <w:sz w:val="28"/>
                              <w:szCs w:val="28"/>
                              <w:lang w:eastAsia="zh-CN"/>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2"/>
                      <w:rPr>
                        <w:rFonts w:hint="eastAsia" w:asciiTheme="minorEastAsia" w:hAnsiTheme="minorEastAsia" w:eastAsiaTheme="minorEastAsia" w:cstheme="minorEastAsia"/>
                        <w:sz w:val="28"/>
                        <w:szCs w:val="28"/>
                        <w:lang w:eastAsia="zh-CN"/>
                      </w:rPr>
                    </w:pPr>
                    <w:r>
                      <w:rPr>
                        <w:rFonts w:hint="eastAsia" w:asciiTheme="minorEastAsia" w:hAnsiTheme="minorEastAsia" w:eastAsiaTheme="minorEastAsia" w:cstheme="minorEastAsia"/>
                        <w:sz w:val="28"/>
                        <w:szCs w:val="28"/>
                        <w:lang w:eastAsia="zh-CN"/>
                      </w:rPr>
                      <w:t xml:space="preserve">— </w:t>
                    </w: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1</w:t>
                    </w:r>
                    <w:r>
                      <w:rPr>
                        <w:rFonts w:hint="eastAsia" w:asciiTheme="minorEastAsia" w:hAnsiTheme="minorEastAsia" w:eastAsiaTheme="minorEastAsia" w:cstheme="minorEastAsia"/>
                        <w:sz w:val="28"/>
                        <w:szCs w:val="28"/>
                        <w:lang w:eastAsia="zh-CN"/>
                      </w:rPr>
                      <w:fldChar w:fldCharType="end"/>
                    </w:r>
                    <w:r>
                      <w:rPr>
                        <w:rFonts w:hint="eastAsia" w:asciiTheme="minorEastAsia" w:hAnsiTheme="minorEastAsia" w:eastAsiaTheme="minorEastAsia" w:cstheme="minorEastAsia"/>
                        <w:sz w:val="28"/>
                        <w:szCs w:val="28"/>
                        <w:lang w:eastAsia="zh-CN"/>
                      </w:rPr>
                      <w:t xml:space="preserve"> —</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F0B52C3"/>
    <w:multiLevelType w:val="singleLevel"/>
    <w:tmpl w:val="9F0B52C3"/>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9541506"/>
    <w:rsid w:val="09AE1118"/>
    <w:rsid w:val="0F3B4CEF"/>
    <w:rsid w:val="10F24415"/>
    <w:rsid w:val="12F6108B"/>
    <w:rsid w:val="174345D9"/>
    <w:rsid w:val="207F01A0"/>
    <w:rsid w:val="23823A7B"/>
    <w:rsid w:val="24584084"/>
    <w:rsid w:val="25B8333B"/>
    <w:rsid w:val="30225489"/>
    <w:rsid w:val="3918147E"/>
    <w:rsid w:val="5385555A"/>
    <w:rsid w:val="5AAD507C"/>
    <w:rsid w:val="662917F5"/>
    <w:rsid w:val="6FAA2535"/>
    <w:rsid w:val="71C02C0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4</TotalTime>
  <ScaleCrop>false</ScaleCrop>
  <LinksUpToDate>false</LinksUpToDate>
  <CharactersWithSpaces>0</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2020-11-10T07:30:00Z</dcterms:created>
  <dc:creator>Administrator</dc:creator>
  <cp:lastModifiedBy>Administrator</cp:lastModifiedBy>
  <cp:lastPrinted>2020-11-12T08:24:13Z</cp:lastPrinted>
  <dcterms:modified xsi:type="dcterms:W3CDTF">2020-11-12T08:24:19Z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ies>
</file>